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EC" w:rsidRDefault="003E71EC">
      <w:pPr>
        <w:pStyle w:val="Cm"/>
        <w:jc w:val="left"/>
        <w:rPr>
          <w:sz w:val="52"/>
          <w:szCs w:val="52"/>
        </w:rPr>
      </w:pPr>
    </w:p>
    <w:p w:rsidR="003E71EC" w:rsidRDefault="003E71EC">
      <w:pPr>
        <w:pStyle w:val="Cm"/>
        <w:jc w:val="left"/>
        <w:rPr>
          <w:sz w:val="52"/>
          <w:szCs w:val="52"/>
        </w:rPr>
      </w:pPr>
    </w:p>
    <w:p w:rsidR="003E71EC" w:rsidRDefault="003E71EC">
      <w:pPr>
        <w:pStyle w:val="Cm"/>
        <w:jc w:val="left"/>
        <w:rPr>
          <w:sz w:val="52"/>
          <w:szCs w:val="52"/>
        </w:rPr>
      </w:pPr>
    </w:p>
    <w:p w:rsidR="003E71EC" w:rsidRDefault="003E71EC">
      <w:pPr>
        <w:pStyle w:val="Cm"/>
        <w:rPr>
          <w:sz w:val="72"/>
          <w:szCs w:val="72"/>
        </w:rPr>
      </w:pPr>
      <w:r>
        <w:rPr>
          <w:sz w:val="72"/>
          <w:szCs w:val="72"/>
        </w:rPr>
        <w:t>MUNKANAPLÓ</w:t>
      </w:r>
    </w:p>
    <w:p w:rsidR="003E71EC" w:rsidRDefault="003E71EC">
      <w:pPr>
        <w:pStyle w:val="Cm"/>
      </w:pPr>
    </w:p>
    <w:p w:rsidR="003E71EC" w:rsidRDefault="003E71EC">
      <w:pPr>
        <w:pStyle w:val="Cm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A KÖNYVTÁRI SZOLGÁLTATÓ HELY RÉSZÉRE</w:t>
      </w:r>
    </w:p>
    <w:p w:rsidR="003E71EC" w:rsidRDefault="003E71EC">
      <w:pPr>
        <w:pStyle w:val="Cm"/>
        <w:rPr>
          <w:b w:val="0"/>
          <w:bCs w:val="0"/>
          <w:sz w:val="36"/>
          <w:szCs w:val="36"/>
        </w:rPr>
      </w:pPr>
    </w:p>
    <w:p w:rsidR="003E71EC" w:rsidRDefault="003E71EC">
      <w:pPr>
        <w:pStyle w:val="Cm"/>
        <w:rPr>
          <w:b w:val="0"/>
          <w:bCs w:val="0"/>
          <w:sz w:val="36"/>
          <w:szCs w:val="36"/>
        </w:rPr>
      </w:pPr>
    </w:p>
    <w:p w:rsidR="003E71EC" w:rsidRDefault="00B027DA">
      <w:pPr>
        <w:pStyle w:val="Cm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A 20__</w:t>
      </w:r>
      <w:bookmarkStart w:id="0" w:name="_GoBack"/>
      <w:bookmarkEnd w:id="0"/>
      <w:r w:rsidR="003E71EC">
        <w:rPr>
          <w:b w:val="0"/>
          <w:bCs w:val="0"/>
          <w:sz w:val="36"/>
          <w:szCs w:val="36"/>
        </w:rPr>
        <w:t xml:space="preserve"> ÉVRE</w:t>
      </w:r>
    </w:p>
    <w:p w:rsidR="003E71EC" w:rsidRDefault="003E71EC">
      <w:pPr>
        <w:pStyle w:val="Cm"/>
      </w:pPr>
    </w:p>
    <w:p w:rsidR="003E71EC" w:rsidRDefault="003E71EC">
      <w:pPr>
        <w:pStyle w:val="Cm"/>
      </w:pPr>
    </w:p>
    <w:p w:rsidR="003E71EC" w:rsidRDefault="003E71EC">
      <w:pPr>
        <w:pStyle w:val="Cm"/>
      </w:pPr>
    </w:p>
    <w:p w:rsidR="003E71EC" w:rsidRDefault="003E71EC">
      <w:pPr>
        <w:pStyle w:val="Cm"/>
      </w:pPr>
    </w:p>
    <w:p w:rsidR="003E71EC" w:rsidRDefault="003E71EC">
      <w:pPr>
        <w:pStyle w:val="Cm"/>
        <w:rPr>
          <w:sz w:val="36"/>
          <w:szCs w:val="36"/>
        </w:rPr>
      </w:pPr>
      <w:r>
        <w:rPr>
          <w:sz w:val="36"/>
          <w:szCs w:val="36"/>
        </w:rPr>
        <w:t>NEM SELEJTEZHETŐ!</w:t>
      </w: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rPr>
          <w:b w:val="0"/>
          <w:bCs w:val="0"/>
        </w:rPr>
      </w:pPr>
      <w:r>
        <w:rPr>
          <w:b w:val="0"/>
          <w:bCs w:val="0"/>
        </w:rPr>
        <w:t>A KÖNYVTÁR NEVE:</w:t>
      </w:r>
    </w:p>
    <w:p w:rsidR="003E71EC" w:rsidRDefault="003E71EC">
      <w:pPr>
        <w:pStyle w:val="Cm"/>
        <w:rPr>
          <w:b w:val="0"/>
          <w:bCs w:val="0"/>
        </w:rPr>
      </w:pPr>
      <w:r>
        <w:rPr>
          <w:b w:val="0"/>
          <w:bCs w:val="0"/>
        </w:rPr>
        <w:t xml:space="preserve">Könyvtári Információs és Közösségi Hely </w:t>
      </w:r>
    </w:p>
    <w:p w:rsidR="003E71EC" w:rsidRDefault="003E71EC">
      <w:pPr>
        <w:pStyle w:val="Cm"/>
        <w:rPr>
          <w:b w:val="0"/>
          <w:bCs w:val="0"/>
        </w:rPr>
      </w:pPr>
    </w:p>
    <w:p w:rsidR="003E71EC" w:rsidRDefault="003E71EC">
      <w:pPr>
        <w:pStyle w:val="Cm"/>
        <w:rPr>
          <w:b w:val="0"/>
          <w:bCs w:val="0"/>
        </w:rPr>
      </w:pPr>
      <w:r>
        <w:rPr>
          <w:b w:val="0"/>
          <w:bCs w:val="0"/>
        </w:rPr>
        <w:t>____________________________________________</w:t>
      </w:r>
    </w:p>
    <w:p w:rsidR="003E71EC" w:rsidRDefault="003E71EC">
      <w:pPr>
        <w:pStyle w:val="Cm"/>
        <w:jc w:val="left"/>
        <w:rPr>
          <w:b w:val="0"/>
          <w:bCs w:val="0"/>
        </w:rPr>
      </w:pPr>
    </w:p>
    <w:p w:rsidR="003E71EC" w:rsidRDefault="003E71EC">
      <w:pPr>
        <w:pStyle w:val="Cm"/>
        <w:jc w:val="left"/>
        <w:rPr>
          <w:b w:val="0"/>
          <w:bCs w:val="0"/>
        </w:rPr>
      </w:pPr>
    </w:p>
    <w:p w:rsidR="003E71EC" w:rsidRDefault="003E71EC">
      <w:pPr>
        <w:pStyle w:val="Cm"/>
        <w:rPr>
          <w:b w:val="0"/>
          <w:bCs w:val="0"/>
        </w:rPr>
      </w:pPr>
      <w:r>
        <w:rPr>
          <w:b w:val="0"/>
          <w:bCs w:val="0"/>
        </w:rPr>
        <w:t>SZÉKHELYE:</w:t>
      </w:r>
    </w:p>
    <w:p w:rsidR="003E71EC" w:rsidRDefault="003E71EC">
      <w:pPr>
        <w:pStyle w:val="Cm"/>
        <w:rPr>
          <w:b w:val="0"/>
          <w:bCs w:val="0"/>
        </w:rPr>
      </w:pPr>
    </w:p>
    <w:p w:rsidR="003E71EC" w:rsidRDefault="003E71EC">
      <w:pPr>
        <w:pStyle w:val="Cm"/>
      </w:pPr>
      <w:r>
        <w:rPr>
          <w:b w:val="0"/>
          <w:bCs w:val="0"/>
        </w:rPr>
        <w:t>____________________________________________</w:t>
      </w: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left"/>
      </w:pPr>
    </w:p>
    <w:p w:rsidR="003E71EC" w:rsidRDefault="003E71EC">
      <w:pPr>
        <w:pStyle w:val="Cm"/>
        <w:jc w:val="right"/>
      </w:pPr>
      <w:r>
        <w:rPr>
          <w:b w:val="0"/>
          <w:bCs w:val="0"/>
        </w:rPr>
        <w:t>(MINDENNAPOS)</w:t>
      </w:r>
    </w:p>
    <w:p w:rsidR="003E71EC" w:rsidRDefault="003E71EC">
      <w:pPr>
        <w:pStyle w:val="Cm"/>
      </w:pPr>
      <w:r>
        <w:lastRenderedPageBreak/>
        <w:t>Megjegyzések</w:t>
      </w:r>
    </w:p>
    <w:p w:rsidR="003E71EC" w:rsidRDefault="003E71EC">
      <w:pPr>
        <w:jc w:val="center"/>
        <w:rPr>
          <w:b/>
          <w:bCs/>
        </w:rPr>
      </w:pP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 xml:space="preserve">................................................................................................................................. </w:t>
      </w:r>
    </w:p>
    <w:p w:rsidR="003E71EC" w:rsidRDefault="003E71EC">
      <w:r>
        <w:t>.................................................................................................................................</w:t>
      </w:r>
    </w:p>
    <w:p w:rsidR="003E71EC" w:rsidRDefault="003E71EC">
      <w:r>
        <w:t>.................................................................................................................................</w:t>
      </w:r>
    </w:p>
    <w:p w:rsidR="003E71EC" w:rsidRDefault="003E71EC">
      <w:r>
        <w:t>.................................................................................................................................</w:t>
      </w:r>
    </w:p>
    <w:p w:rsidR="003E71EC" w:rsidRDefault="003E71EC">
      <w:pPr>
        <w:pStyle w:val="Cmsor1"/>
        <w:rPr>
          <w:sz w:val="24"/>
          <w:szCs w:val="24"/>
        </w:rPr>
      </w:pPr>
      <w:r>
        <w:rPr>
          <w:sz w:val="24"/>
          <w:szCs w:val="24"/>
        </w:rPr>
        <w:lastRenderedPageBreak/>
        <w:t>ÚTMUTATÓ A MUNKANAPLÓ VEZETÉSÉHEZ</w:t>
      </w:r>
    </w:p>
    <w:p w:rsidR="003E71EC" w:rsidRDefault="003E71EC">
      <w:pPr>
        <w:pStyle w:val="Szvegtrzs"/>
        <w:rPr>
          <w:sz w:val="18"/>
          <w:szCs w:val="18"/>
        </w:rPr>
      </w:pPr>
    </w:p>
    <w:p w:rsidR="003E71EC" w:rsidRDefault="003E71EC">
      <w:pPr>
        <w:pStyle w:val="Szvegtrzs"/>
        <w:rPr>
          <w:sz w:val="18"/>
          <w:szCs w:val="18"/>
        </w:rPr>
        <w:sectPr w:rsidR="003E71EC">
          <w:pgSz w:w="11906" w:h="16838"/>
          <w:pgMar w:top="1417" w:right="1417" w:bottom="1417" w:left="1417" w:header="709" w:footer="709" w:gutter="0"/>
          <w:cols w:space="709"/>
        </w:sectPr>
      </w:pPr>
    </w:p>
    <w:p w:rsidR="003E71EC" w:rsidRDefault="003E71EC">
      <w:pPr>
        <w:pStyle w:val="Szvegtrzs"/>
        <w:rPr>
          <w:sz w:val="18"/>
          <w:szCs w:val="18"/>
        </w:rPr>
      </w:pPr>
      <w:r>
        <w:rPr>
          <w:sz w:val="18"/>
          <w:szCs w:val="18"/>
        </w:rPr>
        <w:t xml:space="preserve">A munkanapló vezetése minden könyvtár, </w:t>
      </w:r>
      <w:proofErr w:type="spellStart"/>
      <w:r>
        <w:rPr>
          <w:sz w:val="18"/>
          <w:szCs w:val="18"/>
        </w:rPr>
        <w:t>szolgáltatóhely</w:t>
      </w:r>
      <w:proofErr w:type="spellEnd"/>
      <w:r>
        <w:rPr>
          <w:sz w:val="18"/>
          <w:szCs w:val="18"/>
        </w:rPr>
        <w:t xml:space="preserve"> (a továbbiakban: könyvtár) számára kötelező. Pontos, </w:t>
      </w:r>
      <w:proofErr w:type="spellStart"/>
      <w:r>
        <w:rPr>
          <w:sz w:val="18"/>
          <w:szCs w:val="18"/>
        </w:rPr>
        <w:t>fo-lyamatos</w:t>
      </w:r>
      <w:proofErr w:type="spellEnd"/>
      <w:r>
        <w:rPr>
          <w:sz w:val="18"/>
          <w:szCs w:val="18"/>
        </w:rPr>
        <w:t xml:space="preserve"> vezetéséért a vezető felelős. A munkanapló egy évre szól, nem selejtezhető, irattárban kell elhelyezni.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  <w:r>
        <w:rPr>
          <w:sz w:val="18"/>
          <w:szCs w:val="18"/>
        </w:rPr>
        <w:t>A NAPLÓ VEZETÉSE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Szvegtrzs2"/>
        <w:rPr>
          <w:sz w:val="18"/>
          <w:szCs w:val="18"/>
        </w:rPr>
      </w:pPr>
      <w:r>
        <w:rPr>
          <w:sz w:val="18"/>
          <w:szCs w:val="18"/>
        </w:rPr>
        <w:t xml:space="preserve">Minden </w:t>
      </w:r>
      <w:proofErr w:type="spellStart"/>
      <w:r>
        <w:rPr>
          <w:sz w:val="18"/>
          <w:szCs w:val="18"/>
        </w:rPr>
        <w:t>nyitvatartó</w:t>
      </w:r>
      <w:proofErr w:type="spellEnd"/>
      <w:r>
        <w:rPr>
          <w:sz w:val="18"/>
          <w:szCs w:val="18"/>
        </w:rPr>
        <w:t xml:space="preserve"> nap adatait legkésőbb a következő munkanapon be kell vezetni. A december 31-i állapotnak megfelelő összesítés után az adatokat az országos </w:t>
      </w:r>
      <w:proofErr w:type="spellStart"/>
      <w:r>
        <w:rPr>
          <w:sz w:val="18"/>
          <w:szCs w:val="18"/>
        </w:rPr>
        <w:t>statisz-tikai</w:t>
      </w:r>
      <w:proofErr w:type="spellEnd"/>
      <w:r>
        <w:rPr>
          <w:sz w:val="18"/>
          <w:szCs w:val="18"/>
        </w:rPr>
        <w:t xml:space="preserve"> gyűjtőrendszernek (OSAP) </w:t>
      </w:r>
      <w:proofErr w:type="gramStart"/>
      <w:r>
        <w:rPr>
          <w:sz w:val="18"/>
          <w:szCs w:val="18"/>
        </w:rPr>
        <w:t>jelenteni  kell</w:t>
      </w:r>
      <w:proofErr w:type="gramEnd"/>
      <w:r>
        <w:rPr>
          <w:sz w:val="18"/>
          <w:szCs w:val="18"/>
        </w:rPr>
        <w:t>.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Cmsor2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FOGALMAK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Standard"/>
        <w:jc w:val="both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Könyvtárhasználat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Könyvtári szolgáltatás igénybe vétele személyesen vagy telekommunikációs eszköz révén, függetlenül attól, hogy a használó beiratkozott-e vagy sem. Ha egy épületen (telephelyen) belül a használati szabályzat által előírt módon a részlegek (pl. gyermekrészleg, zenei részleg) külön regisztrálják a használatok számát, akkor a használatok összesített száma írandó be. Személyes használatnak az számít, amikor a használó vagy megbízottja személyesen betérve használja a könyvtárat. Személyes használatkor a könyvtár ismételt felkeresése újabb használatot jelent. A </w:t>
      </w:r>
      <w:proofErr w:type="spellStart"/>
      <w:r>
        <w:rPr>
          <w:sz w:val="18"/>
          <w:szCs w:val="18"/>
        </w:rPr>
        <w:t>könyvtárbani</w:t>
      </w:r>
      <w:proofErr w:type="spellEnd"/>
      <w:r>
        <w:rPr>
          <w:sz w:val="18"/>
          <w:szCs w:val="18"/>
        </w:rPr>
        <w:t>, de nem könyvtári célú rendezvények (kiállítás, előadás) közönsége nem számít ide. Ha a használatok számát nem lehet megállapítani, a látogatások számát kell</w:t>
      </w:r>
      <w:r>
        <w:t xml:space="preserve"> </w:t>
      </w:r>
      <w:r>
        <w:rPr>
          <w:sz w:val="18"/>
          <w:szCs w:val="18"/>
        </w:rPr>
        <w:t>megadni vagy megbecsülni. A belépésszámlálóval fölszerelt könyvtárak számoljanak a kilépésekkel, a személyzet mozgásával, az átfedésekkel is. Ez az adat nem tartalmazza a kistérségi vagy egyéb ellátásban lebonyolódott használatokat.</w:t>
      </w:r>
    </w:p>
    <w:p w:rsidR="003E71EC" w:rsidRDefault="003E71EC">
      <w:pPr>
        <w:pStyle w:val="Standard"/>
        <w:rPr>
          <w:i/>
          <w:iCs/>
          <w:sz w:val="18"/>
          <w:szCs w:val="18"/>
          <w:u w:val="single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Személyes használat</w:t>
      </w:r>
      <w:r>
        <w:rPr>
          <w:i/>
          <w:iCs/>
          <w:sz w:val="18"/>
          <w:szCs w:val="18"/>
        </w:rPr>
        <w:t xml:space="preserve">: </w:t>
      </w:r>
      <w:r>
        <w:rPr>
          <w:sz w:val="18"/>
          <w:szCs w:val="18"/>
        </w:rPr>
        <w:t>a használó saját vagy megbízottja személyében betérve használja a könyvtárat.</w:t>
      </w:r>
    </w:p>
    <w:p w:rsidR="003E71EC" w:rsidRDefault="003E71EC">
      <w:pPr>
        <w:pStyle w:val="Standard"/>
        <w:rPr>
          <w:i/>
          <w:iCs/>
          <w:sz w:val="18"/>
          <w:szCs w:val="18"/>
          <w:u w:val="single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Távhasználat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telekommunikációs eszköz (telefon, fax, e-mail, külső hálózat pl. internet) általi használat.</w:t>
      </w:r>
    </w:p>
    <w:p w:rsidR="003E71EC" w:rsidRDefault="003E71EC">
      <w:pPr>
        <w:rPr>
          <w:sz w:val="18"/>
          <w:szCs w:val="18"/>
          <w:u w:val="single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Kölcsönzés:</w:t>
      </w:r>
      <w:r>
        <w:rPr>
          <w:sz w:val="18"/>
          <w:szCs w:val="18"/>
        </w:rPr>
        <w:t xml:space="preserve"> dokumentum regisztrált kölcsönbe adása, ill. a kölcsönzési határidő meghosszabbítása függetlenül </w:t>
      </w:r>
      <w:proofErr w:type="spellStart"/>
      <w:r>
        <w:rPr>
          <w:sz w:val="18"/>
          <w:szCs w:val="18"/>
        </w:rPr>
        <w:t>at-tól</w:t>
      </w:r>
      <w:proofErr w:type="spellEnd"/>
      <w:r>
        <w:rPr>
          <w:sz w:val="18"/>
          <w:szCs w:val="18"/>
        </w:rPr>
        <w:t xml:space="preserve">, hogy a kölcsönző a könyvtárból kiviszi-e vagy sem. Nem számít kölcsönzésnek a dokumentum virtuális </w:t>
      </w:r>
      <w:proofErr w:type="spellStart"/>
      <w:r>
        <w:rPr>
          <w:sz w:val="18"/>
          <w:szCs w:val="18"/>
        </w:rPr>
        <w:t>he-lyének</w:t>
      </w:r>
      <w:proofErr w:type="spellEnd"/>
      <w:r>
        <w:rPr>
          <w:sz w:val="18"/>
          <w:szCs w:val="18"/>
        </w:rPr>
        <w:t xml:space="preserve"> – MEK stb. – megadása. Ha a könyvtár kölcsönzési rendszere lehetővé teszi, hogy egy kölcsönzőnek több, a kölcsönzött dokumentumok kísérőkártyáit tartalmazó tasakja legyen, a napi statisztika készítésekor az átfedéseket ki kell szűrni. </w:t>
      </w:r>
    </w:p>
    <w:p w:rsidR="003E71EC" w:rsidRDefault="003E71EC">
      <w:pPr>
        <w:pStyle w:val="Standard"/>
        <w:rPr>
          <w:sz w:val="18"/>
          <w:szCs w:val="18"/>
        </w:rPr>
      </w:pPr>
    </w:p>
    <w:p w:rsidR="003E71EC" w:rsidRDefault="003E71EC">
      <w:pPr>
        <w:pStyle w:val="Standard"/>
        <w:jc w:val="both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Kölcsönzött dokumentum</w:t>
      </w:r>
      <w:r>
        <w:rPr>
          <w:sz w:val="18"/>
          <w:szCs w:val="18"/>
        </w:rPr>
        <w:t xml:space="preserve">: Ideszámít a könyvtárból kivitt (“hazavitt”) és a könyvtáron belül, helyben kölcsönzött dokumentum. Beleszámít a használó által kért hosszabbítás. Nem számít a dokumentum virtuális helyének – MEK stb. – megadása. Idetartozik a könyvtár által készített és állományba vett nyomtatott vagy elektronikus másolat szolgáltatása is. A másolatok esetében nem a másolt oldalak, hanem a másolt dokumentumok számát kell beírni! A könyvtárból kivitt dokumentumok számába nem </w:t>
      </w:r>
      <w:r>
        <w:rPr>
          <w:sz w:val="18"/>
          <w:szCs w:val="18"/>
        </w:rPr>
        <w:t xml:space="preserve">számítanak bele a kistérségi vagy egyéb ellátásban forgalmazott, ill. kölcsönzött dokumentumok. </w:t>
      </w:r>
    </w:p>
    <w:p w:rsidR="003E71EC" w:rsidRDefault="003E71EC">
      <w:pPr>
        <w:pStyle w:val="Standard"/>
        <w:jc w:val="both"/>
        <w:rPr>
          <w:sz w:val="18"/>
          <w:szCs w:val="18"/>
        </w:rPr>
      </w:pPr>
    </w:p>
    <w:p w:rsidR="003E71EC" w:rsidRDefault="003E71EC">
      <w:pPr>
        <w:pStyle w:val="Standard"/>
        <w:jc w:val="both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Közvetlenül (helyben) használt dokumentum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minden </w:t>
      </w:r>
      <w:proofErr w:type="spellStart"/>
      <w:r>
        <w:rPr>
          <w:sz w:val="18"/>
          <w:szCs w:val="18"/>
        </w:rPr>
        <w:t>o-lyan</w:t>
      </w:r>
      <w:proofErr w:type="spellEnd"/>
      <w:r>
        <w:rPr>
          <w:sz w:val="18"/>
          <w:szCs w:val="18"/>
        </w:rPr>
        <w:t xml:space="preserve"> dokumentum, amit használtak, kivéve, amit </w:t>
      </w:r>
      <w:proofErr w:type="gramStart"/>
      <w:r>
        <w:rPr>
          <w:sz w:val="18"/>
          <w:szCs w:val="18"/>
        </w:rPr>
        <w:t>kölcsönöztek</w:t>
      </w:r>
      <w:proofErr w:type="gramEnd"/>
      <w:r>
        <w:rPr>
          <w:sz w:val="18"/>
          <w:szCs w:val="18"/>
        </w:rPr>
        <w:t xml:space="preserve"> vagy amit a könyvtárosok használtak. Az olvasó által a szabadpolcról a könyvtár helyiségein belüli használatra levett dokumentum. Megállapíthatjuk becsléssel, visszaosztáskor, mintavétellel, a használók meginterjúvolásával vagy más módon. A szabadpolcon való böngészés is ez, ha kiterjed a tartalom rövid vizsgálatára is (kézbe kerül a mű), de nem tartozik ide, ha csupán az anyag kiválasztása céljából áttekintik a címeket.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Könyvtárközi kérés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és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>teljesítés</w:t>
      </w:r>
      <w:r>
        <w:rPr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dokumentum vagy része kölcsönzése az egyik könyvtárból a másikba, beleértve a nyomtatott vagy elektronikus másolatszolgáltatást is. Nem számít könyvtárközi kölcsönzésnek a dokumentum virtuális helyének – MEK stb. – megadása. </w:t>
      </w:r>
    </w:p>
    <w:p w:rsidR="003E71EC" w:rsidRDefault="003E71EC">
      <w:pPr>
        <w:pStyle w:val="Standard"/>
        <w:rPr>
          <w:b/>
          <w:bCs/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  <w:u w:val="single"/>
        </w:rPr>
        <w:t>Referensz</w:t>
      </w:r>
      <w:proofErr w:type="spellEnd"/>
      <w:r>
        <w:rPr>
          <w:i/>
          <w:iCs/>
          <w:sz w:val="18"/>
          <w:szCs w:val="18"/>
          <w:u w:val="single"/>
        </w:rPr>
        <w:t xml:space="preserve"> kérdés</w:t>
      </w:r>
      <w:r>
        <w:rPr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személyesen vagy telekommunikációs eszközön föltett tájékoztató kérdés, kivéve: az </w:t>
      </w:r>
      <w:proofErr w:type="spellStart"/>
      <w:r>
        <w:rPr>
          <w:sz w:val="18"/>
          <w:szCs w:val="18"/>
        </w:rPr>
        <w:t>adminiszt-ráció</w:t>
      </w:r>
      <w:proofErr w:type="spellEnd"/>
      <w:r>
        <w:rPr>
          <w:sz w:val="18"/>
          <w:szCs w:val="18"/>
        </w:rPr>
        <w:t xml:space="preserve">, a helybeli eligazítás és az a kérdés, amelyet a könyvtár katalógusa vagy más apparátusa a könyvtáros segítsége nélkül is meg tud válaszolni. Adat híján </w:t>
      </w:r>
      <w:proofErr w:type="spellStart"/>
      <w:r>
        <w:rPr>
          <w:sz w:val="18"/>
          <w:szCs w:val="18"/>
        </w:rPr>
        <w:t>be-csülni</w:t>
      </w:r>
      <w:proofErr w:type="spellEnd"/>
      <w:r>
        <w:rPr>
          <w:sz w:val="18"/>
          <w:szCs w:val="18"/>
        </w:rPr>
        <w:t xml:space="preserve"> kell.  </w:t>
      </w:r>
    </w:p>
    <w:p w:rsidR="003E71EC" w:rsidRDefault="003E71EC">
      <w:pPr>
        <w:rPr>
          <w:snapToGrid w:val="0"/>
          <w:sz w:val="18"/>
          <w:szCs w:val="18"/>
        </w:rPr>
      </w:pPr>
    </w:p>
    <w:p w:rsidR="003E71EC" w:rsidRDefault="003E71EC">
      <w:pPr>
        <w:rPr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Nyomtatott dokumentum</w:t>
      </w:r>
      <w:r>
        <w:rPr>
          <w:sz w:val="18"/>
          <w:szCs w:val="18"/>
        </w:rPr>
        <w:t>: könyv, időszaki kiadvány</w:t>
      </w:r>
      <w:proofErr w:type="gramStart"/>
      <w:r>
        <w:rPr>
          <w:sz w:val="18"/>
          <w:szCs w:val="18"/>
        </w:rPr>
        <w:t xml:space="preserve">,  </w:t>
      </w:r>
      <w:proofErr w:type="spellStart"/>
      <w:r>
        <w:rPr>
          <w:sz w:val="18"/>
          <w:szCs w:val="18"/>
        </w:rPr>
        <w:t>bro-súra</w:t>
      </w:r>
      <w:proofErr w:type="spellEnd"/>
      <w:proofErr w:type="gramEnd"/>
      <w:r>
        <w:rPr>
          <w:sz w:val="18"/>
          <w:szCs w:val="18"/>
        </w:rPr>
        <w:t>. Kötetenként vagy tékánként kell feltüntetni.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Audiovizuális dokumentum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hangzó kompaktlemez (CD), dia, hangkazetta, </w:t>
      </w:r>
      <w:proofErr w:type="spellStart"/>
      <w:r>
        <w:rPr>
          <w:sz w:val="18"/>
          <w:szCs w:val="18"/>
        </w:rPr>
        <w:t>-szalag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hangoskönyv</w:t>
      </w:r>
      <w:proofErr w:type="spellEnd"/>
      <w:r>
        <w:rPr>
          <w:sz w:val="18"/>
          <w:szCs w:val="18"/>
        </w:rPr>
        <w:t>, bakelit/</w:t>
      </w:r>
      <w:proofErr w:type="spellStart"/>
      <w:r>
        <w:rPr>
          <w:sz w:val="18"/>
          <w:szCs w:val="18"/>
        </w:rPr>
        <w:t>vinyl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hanglemez ,</w:t>
      </w:r>
      <w:proofErr w:type="gramEnd"/>
      <w:r>
        <w:rPr>
          <w:sz w:val="18"/>
          <w:szCs w:val="18"/>
        </w:rPr>
        <w:t xml:space="preserve"> 8 vagy 16 mm-es mozgó-filmtekercs, video-kazetta. Darabszámot, tekercset kell megadni.</w:t>
      </w:r>
    </w:p>
    <w:p w:rsidR="003E71EC" w:rsidRDefault="003E71EC">
      <w:pPr>
        <w:rPr>
          <w:i/>
          <w:iCs/>
          <w:sz w:val="18"/>
          <w:szCs w:val="18"/>
          <w:u w:val="single"/>
        </w:rPr>
      </w:pPr>
    </w:p>
    <w:p w:rsidR="003E71EC" w:rsidRDefault="003E71EC">
      <w:pPr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Elektronikus dokumentum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digitális dokumentum (CD-ROM [felülírhatatlan számítógépes program kompakt-lemezen], CD-RAM [felülírható számítógépes program kompaktlemezen] DVD, floppy, képlemez. Darabszámot kell megadni. 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pStyle w:val="Standard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Egyéb dokumentum</w:t>
      </w:r>
      <w:r>
        <w:rPr>
          <w:i/>
          <w:iCs/>
          <w:sz w:val="18"/>
          <w:szCs w:val="18"/>
        </w:rPr>
        <w:t>:</w:t>
      </w:r>
      <w:r>
        <w:rPr>
          <w:sz w:val="18"/>
          <w:szCs w:val="18"/>
        </w:rPr>
        <w:t xml:space="preserve"> minden, a fentiekben föl nem sorolt dokumentum: aprónyomtatvány, kézirat (közzé nem tett dokumentum; kézzel vagy géppel írott pl. jegyzőkönyv, helytörténeti följegyzés, autográf), kotta (nyomtatott </w:t>
      </w:r>
      <w:proofErr w:type="spellStart"/>
      <w:r>
        <w:rPr>
          <w:sz w:val="18"/>
          <w:szCs w:val="18"/>
        </w:rPr>
        <w:t>ze-nei</w:t>
      </w:r>
      <w:proofErr w:type="spellEnd"/>
      <w:r>
        <w:rPr>
          <w:sz w:val="18"/>
          <w:szCs w:val="18"/>
        </w:rPr>
        <w:t xml:space="preserve"> dokumentum), (sokszorosított) grafika, szabvány, </w:t>
      </w:r>
      <w:proofErr w:type="spellStart"/>
      <w:r>
        <w:rPr>
          <w:sz w:val="18"/>
          <w:szCs w:val="18"/>
        </w:rPr>
        <w:t>sza-badalmi</w:t>
      </w:r>
      <w:proofErr w:type="spellEnd"/>
      <w:r>
        <w:rPr>
          <w:sz w:val="18"/>
          <w:szCs w:val="18"/>
        </w:rPr>
        <w:t xml:space="preserve"> és kartográfiai (földgömb, atlasz, térkép) </w:t>
      </w:r>
      <w:proofErr w:type="spellStart"/>
      <w:r>
        <w:rPr>
          <w:sz w:val="18"/>
          <w:szCs w:val="18"/>
        </w:rPr>
        <w:t>doku-mentum</w:t>
      </w:r>
      <w:proofErr w:type="spellEnd"/>
      <w:r>
        <w:rPr>
          <w:sz w:val="18"/>
          <w:szCs w:val="18"/>
        </w:rPr>
        <w:t xml:space="preserve">. Darabszámot, köttetési egységet, tekercsszámot kell megadni. A </w:t>
      </w:r>
      <w:proofErr w:type="spellStart"/>
      <w:r>
        <w:rPr>
          <w:sz w:val="18"/>
          <w:szCs w:val="18"/>
        </w:rPr>
        <w:t>mikroformát</w:t>
      </w:r>
      <w:proofErr w:type="spellEnd"/>
      <w:r>
        <w:rPr>
          <w:sz w:val="18"/>
          <w:szCs w:val="18"/>
        </w:rPr>
        <w:t xml:space="preserve"> mint másolatot az eredeti dokumentumnak megfelelően kell besorolni.</w:t>
      </w:r>
    </w:p>
    <w:p w:rsidR="003E71EC" w:rsidRDefault="003E71E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E71EC" w:rsidRDefault="003E71EC">
      <w:pPr>
        <w:rPr>
          <w:sz w:val="18"/>
          <w:szCs w:val="18"/>
        </w:rPr>
      </w:pPr>
      <w:r>
        <w:rPr>
          <w:sz w:val="18"/>
          <w:szCs w:val="18"/>
        </w:rPr>
        <w:t xml:space="preserve">A KÖNYVTÁR RENDEZVÉNYE: az, melynek </w:t>
      </w:r>
      <w:proofErr w:type="spellStart"/>
      <w:r>
        <w:rPr>
          <w:sz w:val="18"/>
          <w:szCs w:val="18"/>
        </w:rPr>
        <w:t>lebo-nyolításában</w:t>
      </w:r>
      <w:proofErr w:type="spellEnd"/>
      <w:r>
        <w:rPr>
          <w:sz w:val="18"/>
          <w:szCs w:val="18"/>
        </w:rPr>
        <w:t xml:space="preserve"> a könyvtár részt vett. Nem tekinthető ennek az, amelynek a könyvtár csak teret adott (lakógyűlés, nyelvtanfolyam stb.).</w:t>
      </w: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  <w:r>
        <w:rPr>
          <w:sz w:val="18"/>
          <w:szCs w:val="18"/>
        </w:rPr>
        <w:t xml:space="preserve">A VÁLTOZÁSOK, BEJEGYZÉSEK oldalra vezetendő minden, a könyvtár munkáját érintő változás (rendkívüli zárva tartás, ellenőrzés, a könyvtáros személyének </w:t>
      </w:r>
      <w:proofErr w:type="spellStart"/>
      <w:r>
        <w:rPr>
          <w:sz w:val="18"/>
          <w:szCs w:val="18"/>
        </w:rPr>
        <w:t>vál-tozása</w:t>
      </w:r>
      <w:proofErr w:type="spellEnd"/>
      <w:r>
        <w:rPr>
          <w:sz w:val="18"/>
          <w:szCs w:val="18"/>
        </w:rPr>
        <w:t>). Ha külön jegyzőkönyv készül, elég utalni arra.</w:t>
      </w:r>
      <w:r>
        <w:rPr>
          <w:sz w:val="18"/>
          <w:szCs w:val="18"/>
          <w:u w:val="single"/>
        </w:rPr>
        <w:t xml:space="preserve"> </w:t>
      </w:r>
    </w:p>
    <w:p w:rsidR="003E71EC" w:rsidRDefault="003E71EC">
      <w:pPr>
        <w:pStyle w:val="Standard"/>
        <w:rPr>
          <w:b/>
          <w:bCs/>
          <w:sz w:val="18"/>
          <w:szCs w:val="18"/>
        </w:rPr>
        <w:sectPr w:rsidR="003E71EC">
          <w:type w:val="continuous"/>
          <w:pgSz w:w="11906" w:h="16838"/>
          <w:pgMar w:top="1417" w:right="1417" w:bottom="1417" w:left="1417" w:header="709" w:footer="709" w:gutter="0"/>
          <w:cols w:num="2" w:space="709" w:equalWidth="0">
            <w:col w:w="4181" w:space="709"/>
            <w:col w:w="4181"/>
          </w:cols>
        </w:sectPr>
      </w:pP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</w:p>
    <w:p w:rsidR="003E71EC" w:rsidRDefault="003E71EC">
      <w:pPr>
        <w:rPr>
          <w:sz w:val="18"/>
          <w:szCs w:val="18"/>
        </w:rPr>
      </w:pPr>
    </w:p>
    <w:sectPr w:rsidR="003E71EC" w:rsidSect="003E71EC">
      <w:type w:val="continuous"/>
      <w:pgSz w:w="11906" w:h="16838" w:code="9"/>
      <w:pgMar w:top="1418" w:right="1418" w:bottom="1418" w:left="1418" w:header="709" w:footer="709" w:gutter="0"/>
      <w:cols w:num="2" w:space="709" w:equalWidth="0">
        <w:col w:w="4181" w:space="709"/>
        <w:col w:w="41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1EC"/>
    <w:rsid w:val="003E71EC"/>
    <w:rsid w:val="00B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07383C-19FD-4968-A4BA-392F5B6A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</w:rPr>
  </w:style>
  <w:style w:type="character" w:customStyle="1" w:styleId="CmChar">
    <w:name w:val="Cím Char"/>
    <w:link w:val="Cm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ind w:right="-142"/>
    </w:pPr>
  </w:style>
  <w:style w:type="character" w:customStyle="1" w:styleId="SzvegtrzsChar">
    <w:name w:val="Szövegtörzs Char"/>
    <w:link w:val="Szvegtrzs"/>
    <w:uiPriority w:val="99"/>
    <w:rPr>
      <w:rFonts w:ascii="Times New Roman" w:hAnsi="Times New Roman" w:cs="Times New Roman"/>
      <w:sz w:val="28"/>
      <w:szCs w:val="28"/>
    </w:rPr>
  </w:style>
  <w:style w:type="paragraph" w:styleId="Szvegtrzs2">
    <w:name w:val="Body Text 2"/>
    <w:basedOn w:val="Norml"/>
    <w:link w:val="Szvegtrzs2Char"/>
    <w:uiPriority w:val="99"/>
    <w:rPr>
      <w:sz w:val="20"/>
      <w:szCs w:val="20"/>
    </w:rPr>
  </w:style>
  <w:style w:type="character" w:customStyle="1" w:styleId="Szvegtrzs2Char">
    <w:name w:val="Szövegtörzs 2 Char"/>
    <w:link w:val="Szvegtrzs2"/>
    <w:uiPriority w:val="99"/>
    <w:rPr>
      <w:rFonts w:ascii="Times New Roman" w:hAnsi="Times New Roman" w:cs="Times New Roman"/>
      <w:sz w:val="28"/>
      <w:szCs w:val="28"/>
    </w:rPr>
  </w:style>
  <w:style w:type="paragraph" w:styleId="Szvegtrzs3">
    <w:name w:val="Body Text 3"/>
    <w:basedOn w:val="Norml"/>
    <w:link w:val="Szvegtrzs3Char"/>
    <w:uiPriority w:val="99"/>
    <w:pPr>
      <w:ind w:right="-142"/>
    </w:pPr>
    <w:rPr>
      <w:sz w:val="20"/>
      <w:szCs w:val="20"/>
    </w:rPr>
  </w:style>
  <w:style w:type="character" w:customStyle="1" w:styleId="Szvegtrzs3Char">
    <w:name w:val="Szövegtörzs 3 Char"/>
    <w:link w:val="Szvegtrzs3"/>
    <w:uiPriority w:val="9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Pr>
      <w:rFonts w:ascii="Times New Roman" w:hAnsi="Times New Roman" w:cs="Times New Roman"/>
      <w:sz w:val="28"/>
      <w:szCs w:val="28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pPr>
      <w:autoSpaceDE w:val="0"/>
      <w:autoSpaceDN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1379</Words>
  <Characters>9521</Characters>
  <Application>Microsoft Office Word</Application>
  <DocSecurity>0</DocSecurity>
  <Lines>79</Lines>
  <Paragraphs>21</Paragraphs>
  <ScaleCrop>false</ScaleCrop>
  <Company>FSZEK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KÖNYVTÁR RENDEZVÉNYEI</dc:title>
  <dc:subject/>
  <dc:creator>Somogyi Jozsef</dc:creator>
  <cp:keywords/>
  <dc:description/>
  <cp:lastModifiedBy>makai.roland</cp:lastModifiedBy>
  <cp:revision>9</cp:revision>
  <cp:lastPrinted>2015-01-08T09:49:00Z</cp:lastPrinted>
  <dcterms:created xsi:type="dcterms:W3CDTF">2015-01-08T07:13:00Z</dcterms:created>
  <dcterms:modified xsi:type="dcterms:W3CDTF">2018-01-18T09:04:00Z</dcterms:modified>
</cp:coreProperties>
</file>